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wilotec.ru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wilotec.ru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wilotec.ru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wilotec.ru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BDFFE05F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